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31" w:rsidRDefault="007D5031" w:rsidP="007D5031">
      <w:pPr>
        <w:shd w:val="clear" w:color="auto" w:fill="FFFFFF"/>
        <w:spacing w:after="150" w:line="240" w:lineRule="auto"/>
        <w:rPr>
          <w:rFonts w:ascii="BMitraBold" w:hAnsi="BMitraBold" w:cs="B Nazanin"/>
          <w:color w:val="424753"/>
          <w:sz w:val="24"/>
          <w:szCs w:val="24"/>
        </w:rPr>
      </w:pPr>
      <w:bookmarkStart w:id="0" w:name="_GoBack"/>
      <w:bookmarkEnd w:id="0"/>
    </w:p>
    <w:tbl>
      <w:tblPr>
        <w:bidiVisual/>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110"/>
        <w:gridCol w:w="2268"/>
      </w:tblGrid>
      <w:tr w:rsidR="007D5031" w:rsidTr="007D5031">
        <w:trPr>
          <w:trHeight w:val="441"/>
          <w:jc w:val="center"/>
        </w:trPr>
        <w:tc>
          <w:tcPr>
            <w:tcW w:w="764" w:type="dxa"/>
            <w:tcBorders>
              <w:top w:val="single" w:sz="4" w:space="0" w:color="000000"/>
              <w:left w:val="single" w:sz="4" w:space="0" w:color="000000"/>
              <w:bottom w:val="single" w:sz="4" w:space="0" w:color="000000"/>
              <w:right w:val="single" w:sz="4" w:space="0" w:color="000000"/>
            </w:tcBorders>
            <w:shd w:val="clear" w:color="auto" w:fill="BFBFBF"/>
            <w:hideMark/>
          </w:tcPr>
          <w:p w:rsidR="007D5031" w:rsidRDefault="007D5031">
            <w:pPr>
              <w:spacing w:after="0" w:line="240" w:lineRule="auto"/>
              <w:jc w:val="center"/>
              <w:rPr>
                <w:rFonts w:cs="B Titr"/>
              </w:rPr>
            </w:pPr>
            <w:r>
              <w:rPr>
                <w:rFonts w:cs="B Titr" w:hint="cs"/>
                <w:rtl/>
              </w:rPr>
              <w:t>ردیف</w:t>
            </w:r>
          </w:p>
        </w:tc>
        <w:tc>
          <w:tcPr>
            <w:tcW w:w="7110" w:type="dxa"/>
            <w:tcBorders>
              <w:top w:val="single" w:sz="4" w:space="0" w:color="000000"/>
              <w:left w:val="single" w:sz="4" w:space="0" w:color="000000"/>
              <w:bottom w:val="single" w:sz="4" w:space="0" w:color="000000"/>
              <w:right w:val="single" w:sz="4" w:space="0" w:color="000000"/>
            </w:tcBorders>
            <w:shd w:val="clear" w:color="auto" w:fill="BFBFBF"/>
            <w:hideMark/>
          </w:tcPr>
          <w:p w:rsidR="007D5031" w:rsidRDefault="007D5031">
            <w:pPr>
              <w:spacing w:after="0" w:line="240" w:lineRule="auto"/>
              <w:jc w:val="center"/>
              <w:rPr>
                <w:rFonts w:cs="B Titr"/>
              </w:rPr>
            </w:pPr>
            <w:r>
              <w:rPr>
                <w:rFonts w:cs="B Titr" w:hint="cs"/>
                <w:rtl/>
              </w:rPr>
              <w:t>مصوبات</w:t>
            </w:r>
          </w:p>
        </w:tc>
        <w:tc>
          <w:tcPr>
            <w:tcW w:w="2268" w:type="dxa"/>
            <w:tcBorders>
              <w:top w:val="single" w:sz="4" w:space="0" w:color="000000"/>
              <w:left w:val="single" w:sz="4" w:space="0" w:color="000000"/>
              <w:bottom w:val="single" w:sz="4" w:space="0" w:color="000000"/>
              <w:right w:val="single" w:sz="4" w:space="0" w:color="000000"/>
            </w:tcBorders>
            <w:shd w:val="clear" w:color="auto" w:fill="BFBFBF"/>
            <w:hideMark/>
          </w:tcPr>
          <w:p w:rsidR="007D5031" w:rsidRDefault="007D5031">
            <w:pPr>
              <w:spacing w:after="0" w:line="240" w:lineRule="auto"/>
              <w:jc w:val="center"/>
              <w:rPr>
                <w:rFonts w:cs="B Titr"/>
              </w:rPr>
            </w:pPr>
            <w:r>
              <w:rPr>
                <w:rFonts w:cs="B Titr" w:hint="cs"/>
                <w:rtl/>
              </w:rPr>
              <w:t>دستگاه مربوطه جهت اجرا</w:t>
            </w:r>
          </w:p>
        </w:tc>
      </w:tr>
      <w:tr w:rsidR="007D5031" w:rsidTr="007D5031">
        <w:trPr>
          <w:jc w:val="center"/>
        </w:trPr>
        <w:tc>
          <w:tcPr>
            <w:tcW w:w="764" w:type="dxa"/>
            <w:tcBorders>
              <w:top w:val="single" w:sz="4" w:space="0" w:color="000000"/>
              <w:left w:val="single" w:sz="4" w:space="0" w:color="000000"/>
              <w:bottom w:val="single" w:sz="4" w:space="0" w:color="000000"/>
              <w:right w:val="single" w:sz="4" w:space="0" w:color="000000"/>
            </w:tcBorders>
          </w:tcPr>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Pr>
            </w:pPr>
            <w:r>
              <w:rPr>
                <w:rFonts w:cs="B Nazanin" w:hint="cs"/>
                <w:sz w:val="24"/>
                <w:szCs w:val="24"/>
                <w:rtl/>
              </w:rPr>
              <w:t xml:space="preserve">    1</w:t>
            </w:r>
          </w:p>
        </w:tc>
        <w:tc>
          <w:tcPr>
            <w:tcW w:w="7110" w:type="dxa"/>
            <w:tcBorders>
              <w:top w:val="single" w:sz="4" w:space="0" w:color="000000"/>
              <w:left w:val="single" w:sz="4" w:space="0" w:color="000000"/>
              <w:bottom w:val="single" w:sz="4" w:space="0" w:color="000000"/>
              <w:right w:val="single" w:sz="4" w:space="0" w:color="000000"/>
            </w:tcBorders>
          </w:tcPr>
          <w:p w:rsidR="007D5031" w:rsidRDefault="007D5031">
            <w:pPr>
              <w:spacing w:after="0" w:line="240" w:lineRule="auto"/>
              <w:jc w:val="both"/>
              <w:rPr>
                <w:rFonts w:cs="B Nazanin"/>
                <w:sz w:val="24"/>
                <w:szCs w:val="24"/>
                <w:rtl/>
              </w:rPr>
            </w:pPr>
            <w:r>
              <w:rPr>
                <w:rFonts w:cs="B Nazanin" w:hint="cs"/>
                <w:sz w:val="24"/>
                <w:szCs w:val="24"/>
                <w:rtl/>
              </w:rPr>
              <w:t>امضاء تفاهم نامه همکاری مشترک فی مابین کمیسیون صنایع و معادن مجلس شورای اسلامی و شورای گفت و گوی دولت و بخش خصوصی کرمانشاه  با مفاد ذیل:</w:t>
            </w:r>
          </w:p>
          <w:p w:rsidR="007D5031" w:rsidRDefault="007D5031">
            <w:pPr>
              <w:spacing w:after="0" w:line="240" w:lineRule="auto"/>
              <w:jc w:val="both"/>
              <w:rPr>
                <w:rFonts w:cs="B Nazanin"/>
                <w:sz w:val="24"/>
                <w:szCs w:val="24"/>
                <w:rtl/>
              </w:rPr>
            </w:pPr>
            <w:r>
              <w:rPr>
                <w:rFonts w:cs="B Nazanin" w:hint="cs"/>
                <w:sz w:val="24"/>
                <w:szCs w:val="24"/>
                <w:rtl/>
              </w:rPr>
              <w:t xml:space="preserve">1-حمایت کمیسیون صنایع و معادن مجلس شورای اسلامی از طرح های استانداری کرمانشاه در زمینه سرمایه گذاری سازمانهای توسعه ای سرمایه گذاری مانند ایدرو، ایمیدرو، شستا و هلدینگ های مرتبط، در پروژه های دارای توجیه اقتصادی استان با توجه به پتانسیل ها و امکانات طبیعی و انسانی موجود به منظور محرومیت زدایی و کمک به ایجاد اشتغال پایدار. </w:t>
            </w:r>
          </w:p>
          <w:p w:rsidR="007D5031" w:rsidRDefault="007D5031">
            <w:pPr>
              <w:spacing w:after="0" w:line="240" w:lineRule="auto"/>
              <w:jc w:val="both"/>
              <w:rPr>
                <w:rFonts w:cs="B Nazanin"/>
                <w:sz w:val="24"/>
                <w:szCs w:val="24"/>
                <w:rtl/>
              </w:rPr>
            </w:pPr>
            <w:r>
              <w:rPr>
                <w:rFonts w:cs="B Nazanin" w:hint="cs"/>
                <w:sz w:val="24"/>
                <w:szCs w:val="24"/>
                <w:rtl/>
              </w:rPr>
              <w:t xml:space="preserve">2-الزام دولت به اجرای ماده 8 قانون هدفمندی یارانه ها. </w:t>
            </w:r>
          </w:p>
          <w:p w:rsidR="007D5031" w:rsidRDefault="007D5031">
            <w:pPr>
              <w:spacing w:after="0" w:line="240" w:lineRule="auto"/>
              <w:jc w:val="both"/>
              <w:rPr>
                <w:rFonts w:cs="B Nazanin"/>
                <w:sz w:val="24"/>
                <w:szCs w:val="24"/>
                <w:rtl/>
              </w:rPr>
            </w:pPr>
            <w:r>
              <w:rPr>
                <w:rFonts w:cs="B Nazanin" w:hint="cs"/>
                <w:sz w:val="24"/>
                <w:szCs w:val="24"/>
                <w:rtl/>
              </w:rPr>
              <w:t>3-با توجه به مصوبه سفر مقام معظم رهبری(مدظله العالی) به استان جهت اختصاص اعتبار برای ارتقاء شاخص های استان کرمانشاه، تصویب 300 میلیارد تومان سالیانه (5 سال) در قانون بودجه سنواتی از ابتدای سال 97 به بعد.</w:t>
            </w:r>
          </w:p>
          <w:p w:rsidR="007D5031" w:rsidRDefault="007D5031">
            <w:pPr>
              <w:spacing w:after="0" w:line="240" w:lineRule="auto"/>
              <w:jc w:val="both"/>
              <w:rPr>
                <w:rFonts w:cs="B Nazanin"/>
                <w:sz w:val="24"/>
                <w:szCs w:val="24"/>
                <w:rtl/>
              </w:rPr>
            </w:pPr>
            <w:r>
              <w:rPr>
                <w:rFonts w:cs="B Nazanin" w:hint="cs"/>
                <w:sz w:val="24"/>
                <w:szCs w:val="24"/>
                <w:rtl/>
              </w:rPr>
              <w:t xml:space="preserve">4-به منظور حمایت از واحدهای بازیافت جهت جلوگیری از آلودگی های زیست محیطی و بهینه سازی مصرف انرژی در واحدهای انرژی بر مانند سیمان و استفاده از محصولات بازیافتی </w:t>
            </w:r>
            <w:r>
              <w:rPr>
                <w:rFonts w:cs="B Nazanin"/>
                <w:sz w:val="24"/>
                <w:szCs w:val="24"/>
              </w:rPr>
              <w:t>RDF</w:t>
            </w:r>
            <w:r>
              <w:rPr>
                <w:rFonts w:cs="B Nazanin" w:hint="cs"/>
                <w:sz w:val="24"/>
                <w:szCs w:val="24"/>
                <w:rtl/>
              </w:rPr>
              <w:t>، رایزنی توسط کمیسیون صنایع و معادن مجلس شورای اسلامی با وزارت نفت صورت پذیرد تا در جهت رشد واحدهای بازیافت، وزارت نفت ما به التفاوت هزینه انرژی صرفه جویی شده را به عنوان یارانه سود تسهیلات جهت خرید تجهیزات و تغییر ساختار و هزینه های مرتبط آن در اختیار واحد صنعتی قرار دهد و یا به قیمت تمام شده،</w:t>
            </w:r>
            <w:r>
              <w:rPr>
                <w:rFonts w:cs="B Nazanin"/>
                <w:sz w:val="24"/>
                <w:szCs w:val="24"/>
              </w:rPr>
              <w:t xml:space="preserve">RDF </w:t>
            </w:r>
            <w:r>
              <w:rPr>
                <w:rFonts w:cs="B Nazanin" w:hint="cs"/>
                <w:sz w:val="24"/>
                <w:szCs w:val="24"/>
                <w:rtl/>
              </w:rPr>
              <w:t xml:space="preserve"> از واحدهای بازیافت مطابق استانداردهای مربوطه خریداری و در اختیار واحدهای مصرف کننده مانند سیمان قرار دهد.</w:t>
            </w:r>
          </w:p>
          <w:p w:rsidR="007D5031" w:rsidRDefault="007D5031">
            <w:pPr>
              <w:spacing w:after="0" w:line="240" w:lineRule="auto"/>
              <w:jc w:val="both"/>
              <w:rPr>
                <w:rFonts w:cs="B Nazanin"/>
                <w:sz w:val="24"/>
                <w:szCs w:val="24"/>
                <w:rtl/>
              </w:rPr>
            </w:pPr>
            <w:r>
              <w:rPr>
                <w:rFonts w:cs="B Nazanin" w:hint="cs"/>
                <w:sz w:val="24"/>
                <w:szCs w:val="24"/>
                <w:rtl/>
              </w:rPr>
              <w:t xml:space="preserve">5- با توجه به اینکه واحدهای بازیافت در کاهش آلودگی های زیست محیطی و بهبود بهداشت عمومی جامعه تاثیر بسزایی دارند و همچنین به منظور تشویق و ترغیب سرمایه گذاران جهت سرمایه گذاری در این بخش، کمیسیون پیشنهادی ارائه دهد، که واحدهای مذکور به مدت معینی از هر گونه مالیات بر درآمد و مالیات بر ارزش افزوده معاف گردند. </w:t>
            </w:r>
          </w:p>
          <w:p w:rsidR="007D5031" w:rsidRDefault="007D5031">
            <w:pPr>
              <w:spacing w:after="0" w:line="240" w:lineRule="auto"/>
              <w:jc w:val="both"/>
              <w:rPr>
                <w:rFonts w:cs="B Nazanin"/>
                <w:sz w:val="24"/>
                <w:szCs w:val="24"/>
                <w:rtl/>
              </w:rPr>
            </w:pPr>
            <w:r>
              <w:rPr>
                <w:rFonts w:cs="B Nazanin" w:hint="cs"/>
                <w:sz w:val="24"/>
                <w:szCs w:val="24"/>
                <w:rtl/>
              </w:rPr>
              <w:t>6-مذاکره و رایزنی کمیسیون صنایع و معادن مجلس شورای اسلامی جهت در نظر گرفتن خط اعتباری مشخص به تفکیک هر بانک به منظور سرمایه گذاری ثابت برای طرح های صنعتی ایجادی توسط وزارت اقتصاد و بانک مرکزی در قالب بخشنامه و دستورالعمل، جهت افزایش توان جذب سرمایه در استان.</w:t>
            </w:r>
          </w:p>
          <w:p w:rsidR="007D5031" w:rsidRDefault="007D5031">
            <w:pPr>
              <w:spacing w:after="0" w:line="240" w:lineRule="auto"/>
              <w:jc w:val="both"/>
              <w:rPr>
                <w:rFonts w:cs="B Nazanin"/>
                <w:sz w:val="24"/>
                <w:szCs w:val="24"/>
                <w:rtl/>
              </w:rPr>
            </w:pPr>
            <w:r>
              <w:rPr>
                <w:rFonts w:cs="B Nazanin" w:hint="cs"/>
                <w:sz w:val="24"/>
                <w:szCs w:val="24"/>
                <w:rtl/>
              </w:rPr>
              <w:t xml:space="preserve">7-تلاش جهت حذف عوارض و تعرفه های گمرکی بر صادرات مواد معدنی خام و فرآوری شده مازاد بر نیاز داخلی به استناد ماده 37 قانون رفع موانع تولید در استان. </w:t>
            </w:r>
          </w:p>
          <w:p w:rsidR="007D5031" w:rsidRDefault="007D5031">
            <w:pPr>
              <w:spacing w:after="0" w:line="240" w:lineRule="auto"/>
              <w:jc w:val="both"/>
              <w:rPr>
                <w:rFonts w:cs="B Nazanin"/>
                <w:sz w:val="24"/>
                <w:szCs w:val="24"/>
                <w:rtl/>
              </w:rPr>
            </w:pPr>
            <w:r>
              <w:rPr>
                <w:rFonts w:cs="B Nazanin" w:hint="cs"/>
                <w:sz w:val="24"/>
                <w:szCs w:val="24"/>
                <w:rtl/>
              </w:rPr>
              <w:t xml:space="preserve">8-با عنایت به تعارضات متعدد در قانون معادن مصوب سال 1392، پیشنهاد الحاق یک بند به قانون رفع موانع تولید با هدف تسهیل فرآیند واگذاری معادن و محدوده های اکتشافی که یک بار به مزایده گذاشته شده و متقاضی نداشته اند، به افرادی که دارای صلاحیت فنی و مالی هستند با تشخیص شورای عالی معادن استان. </w:t>
            </w:r>
          </w:p>
          <w:p w:rsidR="007D5031" w:rsidRDefault="007D5031">
            <w:pPr>
              <w:spacing w:after="0" w:line="240" w:lineRule="auto"/>
              <w:jc w:val="both"/>
              <w:rPr>
                <w:rFonts w:cs="B Nazanin"/>
                <w:sz w:val="24"/>
                <w:szCs w:val="24"/>
                <w:rtl/>
              </w:rPr>
            </w:pPr>
            <w:r>
              <w:rPr>
                <w:rFonts w:cs="B Nazanin" w:hint="cs"/>
                <w:sz w:val="24"/>
                <w:szCs w:val="24"/>
                <w:rtl/>
              </w:rPr>
              <w:t xml:space="preserve">9-با توجه به این که سد بیستون کرمانشاه جهت تامین آب صنایع شهرکهای صنعتی کرمانشاه و پالایشگاه آناهیتا پیش بینی و طراحی شده است لذا ضروریست منابع لازم جهت اجرایی شدن آن در لایحه بودجه 97  منظور گردد.  </w:t>
            </w:r>
          </w:p>
          <w:p w:rsidR="007D5031" w:rsidRDefault="007D5031">
            <w:pPr>
              <w:spacing w:after="0" w:line="240" w:lineRule="auto"/>
              <w:jc w:val="both"/>
              <w:rPr>
                <w:rFonts w:cs="B Nazanin"/>
                <w:sz w:val="24"/>
                <w:szCs w:val="24"/>
                <w:rtl/>
              </w:rPr>
            </w:pPr>
            <w:r>
              <w:rPr>
                <w:rFonts w:cs="B Nazanin" w:hint="cs"/>
                <w:sz w:val="24"/>
                <w:szCs w:val="24"/>
                <w:rtl/>
              </w:rPr>
              <w:t xml:space="preserve">10- پیشنهاد می گردد به منظور ترغیب و تشویق تجارت مرزی و تثبیت سکونت مرزنشینان، شمول شرکت های تعاونی مرزنشینی در قالب ماده 133 قانون مالیات های مستقیم برای </w:t>
            </w:r>
            <w:r>
              <w:rPr>
                <w:rFonts w:cs="B Nazanin" w:hint="cs"/>
                <w:sz w:val="24"/>
                <w:szCs w:val="24"/>
                <w:rtl/>
              </w:rPr>
              <w:lastRenderedPageBreak/>
              <w:t xml:space="preserve">معافیت از پرداخت مالیات به عنوان مثال مناطق روستایی، صورت پذیرد.                           </w:t>
            </w:r>
          </w:p>
          <w:p w:rsidR="007D5031" w:rsidRDefault="007D5031">
            <w:pPr>
              <w:spacing w:after="0" w:line="240" w:lineRule="auto"/>
              <w:jc w:val="both"/>
              <w:rPr>
                <w:rFonts w:cs="B Nazani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p>
          <w:p w:rsidR="007D5031" w:rsidRDefault="007D5031">
            <w:pPr>
              <w:spacing w:after="0" w:line="240" w:lineRule="auto"/>
              <w:jc w:val="center"/>
              <w:rPr>
                <w:rFonts w:cs="B Nazanin"/>
                <w:sz w:val="24"/>
                <w:szCs w:val="24"/>
                <w:rtl/>
              </w:rPr>
            </w:pPr>
            <w:r>
              <w:rPr>
                <w:rFonts w:cs="B Nazanin" w:hint="cs"/>
                <w:sz w:val="24"/>
                <w:szCs w:val="24"/>
                <w:rtl/>
              </w:rPr>
              <w:t>دبیر خانه شورای گفت و گوی دولت و بخش خصوصی استان کرمانشاه</w:t>
            </w:r>
          </w:p>
          <w:p w:rsidR="007D5031" w:rsidRDefault="007D5031">
            <w:pPr>
              <w:spacing w:after="0" w:line="240" w:lineRule="auto"/>
              <w:jc w:val="center"/>
              <w:rPr>
                <w:rFonts w:cs="B Nazanin"/>
                <w:sz w:val="24"/>
                <w:szCs w:val="24"/>
                <w:rtl/>
              </w:rPr>
            </w:pPr>
            <w:r>
              <w:rPr>
                <w:rFonts w:cs="B Nazanin" w:hint="cs"/>
                <w:sz w:val="24"/>
                <w:szCs w:val="24"/>
                <w:rtl/>
              </w:rPr>
              <w:t xml:space="preserve">و </w:t>
            </w:r>
          </w:p>
          <w:p w:rsidR="007D5031" w:rsidRDefault="007D5031">
            <w:pPr>
              <w:spacing w:after="0" w:line="240" w:lineRule="auto"/>
              <w:jc w:val="center"/>
              <w:rPr>
                <w:rFonts w:cs="B Nazanin"/>
                <w:sz w:val="24"/>
                <w:szCs w:val="24"/>
                <w:rtl/>
              </w:rPr>
            </w:pPr>
            <w:r>
              <w:rPr>
                <w:rFonts w:cs="B Nazanin" w:hint="cs"/>
                <w:sz w:val="24"/>
                <w:szCs w:val="24"/>
                <w:rtl/>
              </w:rPr>
              <w:t>کمیسیون صنایع و معادن مجلس شورای اسلامی</w:t>
            </w:r>
          </w:p>
          <w:p w:rsidR="007D5031" w:rsidRDefault="007D5031">
            <w:pPr>
              <w:spacing w:after="0" w:line="240" w:lineRule="auto"/>
              <w:jc w:val="center"/>
              <w:rPr>
                <w:rFonts w:cs="B Nazanin"/>
                <w:sz w:val="24"/>
                <w:szCs w:val="24"/>
              </w:rPr>
            </w:pPr>
          </w:p>
        </w:tc>
      </w:tr>
      <w:tr w:rsidR="007D5031" w:rsidTr="007D5031">
        <w:trPr>
          <w:jc w:val="center"/>
        </w:trPr>
        <w:tc>
          <w:tcPr>
            <w:tcW w:w="764" w:type="dxa"/>
            <w:tcBorders>
              <w:top w:val="single" w:sz="4" w:space="0" w:color="000000"/>
              <w:left w:val="single" w:sz="4" w:space="0" w:color="000000"/>
              <w:bottom w:val="single" w:sz="4" w:space="0" w:color="000000"/>
              <w:right w:val="single" w:sz="4" w:space="0" w:color="000000"/>
            </w:tcBorders>
          </w:tcPr>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tl/>
              </w:rPr>
            </w:pPr>
          </w:p>
          <w:p w:rsidR="007D5031" w:rsidRDefault="007D5031">
            <w:pPr>
              <w:rPr>
                <w:rFonts w:cs="B Nazanin"/>
                <w:sz w:val="24"/>
                <w:szCs w:val="24"/>
              </w:rPr>
            </w:pPr>
            <w:r>
              <w:rPr>
                <w:rFonts w:cs="B Nazanin" w:hint="cs"/>
                <w:sz w:val="24"/>
                <w:szCs w:val="24"/>
                <w:rtl/>
              </w:rPr>
              <w:t xml:space="preserve">    2</w:t>
            </w:r>
          </w:p>
        </w:tc>
        <w:tc>
          <w:tcPr>
            <w:tcW w:w="7110" w:type="dxa"/>
            <w:tcBorders>
              <w:top w:val="single" w:sz="4" w:space="0" w:color="000000"/>
              <w:left w:val="single" w:sz="4" w:space="0" w:color="000000"/>
              <w:bottom w:val="single" w:sz="4" w:space="0" w:color="000000"/>
              <w:right w:val="single" w:sz="4" w:space="0" w:color="000000"/>
            </w:tcBorders>
          </w:tcPr>
          <w:p w:rsidR="007D5031" w:rsidRDefault="007D5031">
            <w:pPr>
              <w:spacing w:after="0"/>
              <w:jc w:val="both"/>
              <w:rPr>
                <w:rFonts w:ascii="IPT Nazanin" w:eastAsia="Calibri" w:hAnsi="IPT Nazanin" w:cs="B Nazanin"/>
                <w:sz w:val="24"/>
                <w:szCs w:val="24"/>
                <w:rtl/>
              </w:rPr>
            </w:pPr>
            <w:r>
              <w:rPr>
                <w:rFonts w:cs="B Nazanin" w:hint="cs"/>
                <w:sz w:val="24"/>
                <w:szCs w:val="24"/>
                <w:rtl/>
              </w:rPr>
              <w:t>مصوب شد به منظور پیگیری امور مرتبط با حوزه صنایع و معادن، کمیته مشترک همکاری های صنایع و معادن مجلس شورای اسلامی و شورای گفت و گوی دولت و بخش خصوصی کرمانشاه تشکیل گردد.</w:t>
            </w:r>
            <w:r>
              <w:rPr>
                <w:rFonts w:ascii="IPT Nazanin" w:eastAsia="Calibri" w:hAnsi="IPT Nazanin" w:cs="B Nazanin" w:hint="cs"/>
                <w:sz w:val="24"/>
                <w:szCs w:val="24"/>
                <w:rtl/>
              </w:rPr>
              <w:t xml:space="preserve"> </w:t>
            </w:r>
          </w:p>
          <w:p w:rsidR="007D5031" w:rsidRDefault="007D5031">
            <w:pPr>
              <w:spacing w:after="0"/>
              <w:jc w:val="both"/>
              <w:rPr>
                <w:rFonts w:ascii="IPT Nazanin" w:eastAsia="Calibri" w:hAnsi="IPT Nazanin" w:cs="B Nazanin"/>
                <w:sz w:val="24"/>
                <w:szCs w:val="24"/>
                <w:rtl/>
              </w:rPr>
            </w:pPr>
            <w:r>
              <w:rPr>
                <w:rFonts w:ascii="IPT Nazanin" w:eastAsia="Calibri" w:hAnsi="IPT Nazanin" w:cs="B Nazanin" w:hint="cs"/>
                <w:sz w:val="24"/>
                <w:szCs w:val="24"/>
                <w:rtl/>
              </w:rPr>
              <w:t>دبیرخانه مشترک همکاری در محل اتاق بازرگانی صنایع، معادن و کشاورزی کرمانشاه مستقر می شود.</w:t>
            </w:r>
          </w:p>
          <w:p w:rsidR="007D5031" w:rsidRDefault="007D5031">
            <w:pPr>
              <w:spacing w:after="0"/>
              <w:jc w:val="both"/>
              <w:rPr>
                <w:rFonts w:ascii="IPT Nazanin" w:eastAsia="Calibri" w:hAnsi="IPT Nazanin" w:cs="B Nazanin"/>
                <w:sz w:val="24"/>
                <w:szCs w:val="24"/>
                <w:rtl/>
              </w:rPr>
            </w:pPr>
            <w:r>
              <w:rPr>
                <w:rFonts w:ascii="IPT Nazanin" w:eastAsia="Calibri" w:hAnsi="IPT Nazanin" w:cs="B Nazanin" w:hint="cs"/>
                <w:sz w:val="24"/>
                <w:szCs w:val="24"/>
                <w:rtl/>
              </w:rPr>
              <w:t>اعضا کمیته مشترک همکاری به شرح ذیل به تصویب رسید:</w:t>
            </w:r>
          </w:p>
          <w:p w:rsidR="007D5031" w:rsidRDefault="007D5031">
            <w:pPr>
              <w:spacing w:after="0"/>
              <w:jc w:val="both"/>
              <w:rPr>
                <w:rFonts w:ascii="IPT Nazanin" w:eastAsia="Calibri" w:hAnsi="IPT Nazanin" w:cs="B Zar"/>
                <w:sz w:val="28"/>
                <w:szCs w:val="28"/>
                <w:rtl/>
              </w:rPr>
            </w:pPr>
            <w:r>
              <w:rPr>
                <w:rFonts w:ascii="IPT Nazanin" w:eastAsia="Calibri" w:hAnsi="IPT Nazanin" w:cs="B Zar" w:hint="cs"/>
                <w:sz w:val="28"/>
                <w:szCs w:val="28"/>
                <w:rtl/>
              </w:rPr>
              <w:t>1-دو نفر از اعضا کمیسیون صنایع و معادن شورای اسلامی با معرفی ریاست کمیسیون</w:t>
            </w:r>
          </w:p>
          <w:p w:rsidR="007D5031" w:rsidRDefault="007D5031">
            <w:pPr>
              <w:spacing w:after="0"/>
              <w:jc w:val="both"/>
              <w:rPr>
                <w:rFonts w:ascii="IPT Nazanin" w:eastAsia="Calibri" w:hAnsi="IPT Nazanin" w:cs="B Zar"/>
                <w:sz w:val="28"/>
                <w:szCs w:val="28"/>
              </w:rPr>
            </w:pPr>
            <w:r>
              <w:rPr>
                <w:rFonts w:ascii="IPT Nazanin" w:eastAsia="Calibri" w:hAnsi="IPT Nazanin" w:cs="B Zar" w:hint="cs"/>
                <w:sz w:val="28"/>
                <w:szCs w:val="28"/>
                <w:rtl/>
              </w:rPr>
              <w:t xml:space="preserve">2-نماینده تام الاختیار استاندار کرمانشاه </w:t>
            </w:r>
          </w:p>
          <w:p w:rsidR="007D5031" w:rsidRDefault="007D5031">
            <w:pPr>
              <w:spacing w:after="0"/>
              <w:jc w:val="both"/>
              <w:rPr>
                <w:rFonts w:ascii="IPT Nazanin" w:eastAsia="Calibri" w:hAnsi="IPT Nazanin" w:cs="B Zar"/>
                <w:sz w:val="28"/>
                <w:szCs w:val="28"/>
              </w:rPr>
            </w:pPr>
            <w:r>
              <w:rPr>
                <w:rFonts w:ascii="IPT Nazanin" w:eastAsia="Calibri" w:hAnsi="IPT Nazanin" w:cs="B Zar" w:hint="cs"/>
                <w:sz w:val="28"/>
                <w:szCs w:val="28"/>
                <w:rtl/>
              </w:rPr>
              <w:t>3-دو نفر از فعالان اقتصادی مرتبط، با معرفی اتاق بازرگانی صنایع، معادن و کشاورزی کرمانشاه</w:t>
            </w:r>
          </w:p>
          <w:p w:rsidR="007D5031" w:rsidRDefault="007D5031">
            <w:pPr>
              <w:spacing w:after="0"/>
              <w:jc w:val="both"/>
              <w:rPr>
                <w:rFonts w:ascii="IPT Nazanin" w:eastAsia="Calibri" w:hAnsi="IPT Nazanin" w:cs="B Zar"/>
                <w:sz w:val="28"/>
                <w:szCs w:val="28"/>
              </w:rPr>
            </w:pPr>
            <w:r>
              <w:rPr>
                <w:rFonts w:ascii="IPT Nazanin" w:eastAsia="Calibri" w:hAnsi="IPT Nazanin" w:cs="B Zar" w:hint="cs"/>
                <w:sz w:val="28"/>
                <w:szCs w:val="28"/>
                <w:rtl/>
              </w:rPr>
              <w:t>4-یک نفر نماینده از اعضاء مجمع نمایندگان استان در مجلس شورای اسلامی با معرفی مجمع نمایندگان</w:t>
            </w:r>
          </w:p>
          <w:p w:rsidR="007D5031" w:rsidRDefault="007D5031">
            <w:pPr>
              <w:spacing w:after="0"/>
              <w:jc w:val="both"/>
              <w:rPr>
                <w:rFonts w:ascii="IPT Nazanin" w:eastAsia="Calibri" w:hAnsi="IPT Nazanin" w:cs="B Nazanin"/>
                <w:sz w:val="24"/>
                <w:szCs w:val="24"/>
              </w:rPr>
            </w:pPr>
            <w:r>
              <w:rPr>
                <w:rFonts w:ascii="IPT Nazanin" w:eastAsia="Calibri" w:hAnsi="IPT Nazanin" w:cs="B Nazanin" w:hint="cs"/>
                <w:sz w:val="24"/>
                <w:szCs w:val="24"/>
                <w:rtl/>
              </w:rPr>
              <w:t>دبیرخانه شورای گفت و گو متعهد شد جلسات کمیته مشترک را به طور مستمر و در فواصل مورد نیاز حسب مورد در کرمانشاه یا تهران تشکیل دهد.</w:t>
            </w:r>
          </w:p>
          <w:p w:rsidR="007D5031" w:rsidRDefault="007D5031">
            <w:pPr>
              <w:spacing w:after="0" w:line="240" w:lineRule="auto"/>
              <w:jc w:val="both"/>
              <w:rPr>
                <w:rFonts w:cs="B Nazani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cs="B Nazanin"/>
                <w:sz w:val="24"/>
                <w:szCs w:val="24"/>
                <w:rtl/>
              </w:rPr>
            </w:pPr>
            <w:r>
              <w:rPr>
                <w:rFonts w:cs="B Nazanin" w:hint="cs"/>
                <w:sz w:val="24"/>
                <w:szCs w:val="24"/>
                <w:rtl/>
              </w:rPr>
              <w:t xml:space="preserve">دبیر خانه شورای گفت و گوی دولت و بخش خصوصی استان کرمانشاه </w:t>
            </w:r>
          </w:p>
          <w:p w:rsidR="007D5031" w:rsidRDefault="007D5031">
            <w:pPr>
              <w:spacing w:after="0" w:line="240" w:lineRule="auto"/>
              <w:jc w:val="center"/>
              <w:rPr>
                <w:rFonts w:eastAsia="Calibri" w:cs="B Nazanin"/>
                <w:sz w:val="24"/>
                <w:szCs w:val="24"/>
                <w:rtl/>
              </w:rPr>
            </w:pPr>
            <w:r>
              <w:rPr>
                <w:rFonts w:cs="B Nazanin" w:hint="cs"/>
                <w:sz w:val="24"/>
                <w:szCs w:val="24"/>
                <w:rtl/>
              </w:rPr>
              <w:t>کمیسیون صنایع و معادن مجلس شورای اسلامی</w:t>
            </w:r>
          </w:p>
          <w:p w:rsidR="007D5031" w:rsidRDefault="007D5031">
            <w:pPr>
              <w:spacing w:after="0" w:line="240" w:lineRule="auto"/>
              <w:jc w:val="center"/>
              <w:rPr>
                <w:rFonts w:eastAsia="Calibri" w:cs="B Nazanin"/>
                <w:sz w:val="24"/>
                <w:szCs w:val="24"/>
              </w:rPr>
            </w:pPr>
          </w:p>
        </w:tc>
      </w:tr>
      <w:tr w:rsidR="007D5031" w:rsidTr="007D5031">
        <w:trPr>
          <w:jc w:val="center"/>
        </w:trPr>
        <w:tc>
          <w:tcPr>
            <w:tcW w:w="764" w:type="dxa"/>
            <w:tcBorders>
              <w:top w:val="single" w:sz="4" w:space="0" w:color="000000"/>
              <w:left w:val="single" w:sz="4" w:space="0" w:color="000000"/>
              <w:bottom w:val="single" w:sz="4" w:space="0" w:color="000000"/>
              <w:right w:val="single" w:sz="4" w:space="0" w:color="000000"/>
            </w:tcBorders>
          </w:tcPr>
          <w:p w:rsidR="007D5031" w:rsidRDefault="007D5031">
            <w:pPr>
              <w:rPr>
                <w:rFonts w:cs="B Nazanin"/>
                <w:sz w:val="24"/>
                <w:szCs w:val="24"/>
                <w:rtl/>
              </w:rPr>
            </w:pPr>
          </w:p>
          <w:p w:rsidR="007D5031" w:rsidRDefault="007D5031">
            <w:pPr>
              <w:rPr>
                <w:rFonts w:cs="B Nazanin"/>
                <w:sz w:val="24"/>
                <w:szCs w:val="24"/>
              </w:rPr>
            </w:pPr>
            <w:r>
              <w:rPr>
                <w:rFonts w:cs="B Nazanin" w:hint="cs"/>
                <w:sz w:val="24"/>
                <w:szCs w:val="24"/>
                <w:rtl/>
              </w:rPr>
              <w:t xml:space="preserve">    3</w:t>
            </w:r>
          </w:p>
        </w:tc>
        <w:tc>
          <w:tcPr>
            <w:tcW w:w="7110" w:type="dxa"/>
            <w:tcBorders>
              <w:top w:val="single" w:sz="4" w:space="0" w:color="000000"/>
              <w:left w:val="single" w:sz="4" w:space="0" w:color="000000"/>
              <w:bottom w:val="single" w:sz="4" w:space="0" w:color="000000"/>
              <w:right w:val="single" w:sz="4" w:space="0" w:color="000000"/>
            </w:tcBorders>
          </w:tcPr>
          <w:p w:rsidR="007D5031" w:rsidRDefault="007D5031">
            <w:pPr>
              <w:spacing w:after="0"/>
              <w:jc w:val="both"/>
              <w:rPr>
                <w:rFonts w:ascii="IPT Nazanin" w:eastAsia="Calibri" w:hAnsi="IPT Nazanin" w:cs="B Nazanin"/>
                <w:sz w:val="24"/>
                <w:szCs w:val="24"/>
                <w:rtl/>
              </w:rPr>
            </w:pPr>
            <w:r>
              <w:rPr>
                <w:rFonts w:ascii="IPT Nazanin" w:eastAsia="Calibri" w:hAnsi="IPT Nazanin" w:cs="B Nazanin" w:hint="cs"/>
                <w:sz w:val="24"/>
                <w:szCs w:val="24"/>
                <w:rtl/>
              </w:rPr>
              <w:t>مصوب شد کمیته مشترک پیگیری و اجرایی شدن موضوعات مرتبط در مباحث صنایع و معادن به عهده گیرد و گزارش اقدامات را به ریاست محترم کمیسیون صنایع و معادن مجلس شورای اسلامی و استاندار محترم کرمانشاه، به صورت مکتوب منعکس نماید.</w:t>
            </w:r>
          </w:p>
          <w:p w:rsidR="007D5031" w:rsidRDefault="007D5031">
            <w:pPr>
              <w:spacing w:after="0"/>
              <w:jc w:val="both"/>
              <w:rPr>
                <w:rFonts w:cs="B Nazani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D5031" w:rsidRDefault="007D5031">
            <w:pPr>
              <w:spacing w:after="0" w:line="240" w:lineRule="auto"/>
              <w:jc w:val="center"/>
              <w:rPr>
                <w:rFonts w:eastAsia="Calibri" w:cs="B Nazanin"/>
                <w:sz w:val="24"/>
                <w:szCs w:val="24"/>
                <w:rtl/>
              </w:rPr>
            </w:pPr>
          </w:p>
          <w:p w:rsidR="007D5031" w:rsidRDefault="007D5031">
            <w:pPr>
              <w:spacing w:after="0" w:line="240" w:lineRule="auto"/>
              <w:jc w:val="center"/>
              <w:rPr>
                <w:rFonts w:cs="B Nazanin"/>
                <w:sz w:val="24"/>
                <w:szCs w:val="24"/>
                <w:rtl/>
              </w:rPr>
            </w:pPr>
            <w:r>
              <w:rPr>
                <w:rFonts w:cs="B Nazanin" w:hint="cs"/>
                <w:sz w:val="24"/>
                <w:szCs w:val="24"/>
                <w:rtl/>
              </w:rPr>
              <w:t xml:space="preserve">دبیر خانه شورای گفت و گوی دولت و بخش خصوصی استان کرمانشاه </w:t>
            </w:r>
          </w:p>
          <w:p w:rsidR="007D5031" w:rsidRDefault="007D5031">
            <w:pPr>
              <w:spacing w:after="0" w:line="240" w:lineRule="auto"/>
              <w:jc w:val="center"/>
              <w:rPr>
                <w:rFonts w:eastAsia="Calibri" w:cs="B Nazanin"/>
                <w:sz w:val="24"/>
                <w:szCs w:val="24"/>
                <w:rtl/>
              </w:rPr>
            </w:pPr>
            <w:r>
              <w:rPr>
                <w:rFonts w:cs="B Nazanin" w:hint="cs"/>
                <w:sz w:val="24"/>
                <w:szCs w:val="24"/>
                <w:rtl/>
              </w:rPr>
              <w:t>کمیسیون صنایع و معادن مجلس شورای اسلامی</w:t>
            </w:r>
          </w:p>
          <w:p w:rsidR="007D5031" w:rsidRDefault="007D5031">
            <w:pPr>
              <w:spacing w:after="0" w:line="240" w:lineRule="auto"/>
              <w:jc w:val="center"/>
              <w:rPr>
                <w:rFonts w:eastAsia="Calibri" w:cs="B Nazanin"/>
                <w:sz w:val="24"/>
                <w:szCs w:val="24"/>
              </w:rPr>
            </w:pPr>
          </w:p>
        </w:tc>
      </w:tr>
    </w:tbl>
    <w:p w:rsidR="004847A1" w:rsidRDefault="007D5031">
      <w:r>
        <w:rPr>
          <w:rFonts w:cs="B Nazanin" w:hint="cs"/>
          <w:sz w:val="24"/>
          <w:szCs w:val="24"/>
          <w:rtl/>
        </w:rPr>
        <w:t xml:space="preserve">     </w:t>
      </w:r>
      <w:r>
        <w:rPr>
          <w:rFonts w:cs="B Nazanin" w:hint="cs"/>
          <w:sz w:val="24"/>
          <w:szCs w:val="24"/>
          <w:rtl/>
        </w:rPr>
        <w:tab/>
      </w:r>
      <w:r>
        <w:rPr>
          <w:rFonts w:cs="B Nazanin" w:hint="cs"/>
          <w:sz w:val="24"/>
          <w:szCs w:val="24"/>
          <w:rtl/>
        </w:rPr>
        <w:tab/>
        <w:t xml:space="preserve">                                                                                                                                                                               </w:t>
      </w:r>
    </w:p>
    <w:sectPr w:rsidR="004847A1" w:rsidSect="003D29A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MitraBold">
    <w:altName w:val="Times New Roman"/>
    <w:charset w:val="00"/>
    <w:family w:val="auto"/>
    <w:pitch w:val="default"/>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PT Nazanin">
    <w:altName w:val="Symbol"/>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31"/>
    <w:rsid w:val="003D29AB"/>
    <w:rsid w:val="004847A1"/>
    <w:rsid w:val="007D5031"/>
    <w:rsid w:val="00D614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CCCF2-34E7-4725-AB16-4DA6CB80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31"/>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DAYA</cp:lastModifiedBy>
  <cp:revision>2</cp:revision>
  <dcterms:created xsi:type="dcterms:W3CDTF">2017-11-28T06:59:00Z</dcterms:created>
  <dcterms:modified xsi:type="dcterms:W3CDTF">2017-11-28T06:59:00Z</dcterms:modified>
</cp:coreProperties>
</file>