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7110"/>
        <w:gridCol w:w="2268"/>
      </w:tblGrid>
      <w:tr w:rsidR="008F3EBB" w:rsidRPr="00E97D18" w:rsidTr="003F4940">
        <w:trPr>
          <w:trHeight w:val="441"/>
          <w:jc w:val="center"/>
        </w:trPr>
        <w:tc>
          <w:tcPr>
            <w:tcW w:w="764" w:type="dxa"/>
            <w:shd w:val="clear" w:color="auto" w:fill="BFBFBF"/>
          </w:tcPr>
          <w:p w:rsidR="008F3EBB" w:rsidRPr="00E97D18" w:rsidRDefault="008F3EBB" w:rsidP="003F4940">
            <w:pPr>
              <w:spacing w:after="0" w:line="240" w:lineRule="auto"/>
              <w:jc w:val="center"/>
              <w:rPr>
                <w:rFonts w:cs="B Titr"/>
                <w:rtl/>
              </w:rPr>
            </w:pPr>
            <w:r w:rsidRPr="00E97D18">
              <w:rPr>
                <w:rFonts w:cs="B Titr" w:hint="cs"/>
                <w:rtl/>
              </w:rPr>
              <w:t>ردیف</w:t>
            </w:r>
          </w:p>
        </w:tc>
        <w:tc>
          <w:tcPr>
            <w:tcW w:w="7110" w:type="dxa"/>
            <w:shd w:val="clear" w:color="auto" w:fill="BFBFBF"/>
          </w:tcPr>
          <w:p w:rsidR="008F3EBB" w:rsidRPr="00E97D18" w:rsidRDefault="008F3EBB" w:rsidP="003F4940">
            <w:pPr>
              <w:spacing w:after="0" w:line="240" w:lineRule="auto"/>
              <w:jc w:val="center"/>
              <w:rPr>
                <w:rFonts w:cs="B Titr"/>
                <w:rtl/>
              </w:rPr>
            </w:pPr>
            <w:r w:rsidRPr="00E97D18">
              <w:rPr>
                <w:rFonts w:cs="B Titr" w:hint="cs"/>
                <w:rtl/>
              </w:rPr>
              <w:t>مصوبات</w:t>
            </w:r>
          </w:p>
        </w:tc>
        <w:tc>
          <w:tcPr>
            <w:tcW w:w="2268" w:type="dxa"/>
            <w:shd w:val="clear" w:color="auto" w:fill="BFBFBF"/>
          </w:tcPr>
          <w:p w:rsidR="008F3EBB" w:rsidRPr="00E97D18" w:rsidRDefault="008F3EBB" w:rsidP="003F4940">
            <w:pPr>
              <w:spacing w:after="0" w:line="240" w:lineRule="auto"/>
              <w:jc w:val="center"/>
              <w:rPr>
                <w:rFonts w:cs="B Titr"/>
                <w:rtl/>
              </w:rPr>
            </w:pPr>
            <w:r w:rsidRPr="00E97D18">
              <w:rPr>
                <w:rFonts w:cs="B Titr" w:hint="cs"/>
                <w:rtl/>
              </w:rPr>
              <w:t>دستگاه مربوطه جهت اجرا</w:t>
            </w:r>
          </w:p>
        </w:tc>
      </w:tr>
      <w:tr w:rsidR="008F3EBB" w:rsidRPr="00E97D18" w:rsidTr="003F4940">
        <w:trPr>
          <w:jc w:val="center"/>
        </w:trPr>
        <w:tc>
          <w:tcPr>
            <w:tcW w:w="764" w:type="dxa"/>
            <w:shd w:val="clear" w:color="auto" w:fill="auto"/>
          </w:tcPr>
          <w:p w:rsidR="008F3EBB" w:rsidRDefault="008F3EBB" w:rsidP="003F4940">
            <w:pPr>
              <w:jc w:val="center"/>
              <w:rPr>
                <w:rFonts w:cs="B Nazanin"/>
                <w:sz w:val="24"/>
                <w:szCs w:val="24"/>
                <w:rtl/>
              </w:rPr>
            </w:pPr>
            <w:r>
              <w:rPr>
                <w:rFonts w:cs="B Nazanin" w:hint="cs"/>
                <w:sz w:val="24"/>
                <w:szCs w:val="24"/>
                <w:rtl/>
              </w:rPr>
              <w:t>1</w:t>
            </w:r>
          </w:p>
          <w:p w:rsidR="008F3EBB" w:rsidRPr="004D4E89" w:rsidRDefault="008F3EBB" w:rsidP="003F4940">
            <w:pPr>
              <w:rPr>
                <w:rFonts w:cs="B Nazanin"/>
                <w:sz w:val="24"/>
                <w:szCs w:val="24"/>
                <w:rtl/>
              </w:rPr>
            </w:pPr>
            <w:r>
              <w:rPr>
                <w:rFonts w:cs="B Nazanin" w:hint="cs"/>
                <w:sz w:val="24"/>
                <w:szCs w:val="24"/>
                <w:rtl/>
              </w:rPr>
              <w:t xml:space="preserve">    </w:t>
            </w:r>
          </w:p>
        </w:tc>
        <w:tc>
          <w:tcPr>
            <w:tcW w:w="7110" w:type="dxa"/>
            <w:shd w:val="clear" w:color="auto" w:fill="auto"/>
          </w:tcPr>
          <w:p w:rsidR="008F3EBB" w:rsidRPr="0058644A" w:rsidRDefault="008F3EBB" w:rsidP="003F4940">
            <w:pPr>
              <w:jc w:val="both"/>
              <w:rPr>
                <w:rFonts w:eastAsia="Calibri" w:cs="B Nazanin" w:hint="cs"/>
                <w:sz w:val="24"/>
                <w:szCs w:val="24"/>
                <w:rtl/>
              </w:rPr>
            </w:pPr>
            <w:r>
              <w:rPr>
                <w:rFonts w:eastAsia="Calibri" w:cs="B Nazanin" w:hint="cs"/>
                <w:sz w:val="24"/>
                <w:szCs w:val="24"/>
                <w:rtl/>
              </w:rPr>
              <w:t>در راستای اجرای مصوبه مورخ 30/6/96 شورای گفت و گو با موضوع ایجاد شهرک صنفی نمایشگاه اتومبیل، بار فروشان و خشکبار مقرر گردید: شهرداری کرمانشاه با قید فوریت ضمن تشکیل جلسه با اتاق اصناف، اتحادیه های صنفی مربوطه، شرکت شهرکهای صنعتی و دبیر خانه شورا و دیگر دستگاه های مرتبط هماهنگی و ساماندهی لازم را برای ایجاد شهرکهای صنفی در شهرکهای صنعتی مورد نظر فراهم و در صورت وجود موانع مراتب را جهت طرح در شورا به دبیرخانه اعلام نماید.</w:t>
            </w:r>
          </w:p>
          <w:p w:rsidR="008F3EBB" w:rsidRPr="006D5C77" w:rsidRDefault="008F3EBB" w:rsidP="003F4940">
            <w:pPr>
              <w:spacing w:after="0" w:line="240" w:lineRule="auto"/>
              <w:jc w:val="both"/>
              <w:rPr>
                <w:rFonts w:cs="B Nazanin" w:hint="cs"/>
                <w:sz w:val="24"/>
                <w:szCs w:val="24"/>
                <w:rtl/>
              </w:rPr>
            </w:pPr>
          </w:p>
        </w:tc>
        <w:tc>
          <w:tcPr>
            <w:tcW w:w="2268" w:type="dxa"/>
            <w:shd w:val="clear" w:color="auto" w:fill="auto"/>
          </w:tcPr>
          <w:p w:rsidR="008F3EBB" w:rsidRPr="006D5C77" w:rsidRDefault="008F3EBB" w:rsidP="003F4940">
            <w:pPr>
              <w:spacing w:after="0" w:line="240" w:lineRule="auto"/>
              <w:rPr>
                <w:rFonts w:cs="B Nazanin"/>
                <w:sz w:val="24"/>
                <w:szCs w:val="24"/>
              </w:rPr>
            </w:pPr>
          </w:p>
          <w:p w:rsidR="008F3EBB" w:rsidRDefault="008F3EBB" w:rsidP="003F4940">
            <w:pPr>
              <w:spacing w:after="0" w:line="240" w:lineRule="auto"/>
              <w:jc w:val="center"/>
              <w:rPr>
                <w:rFonts w:cs="B Nazanin" w:hint="cs"/>
                <w:sz w:val="24"/>
                <w:szCs w:val="24"/>
                <w:rtl/>
              </w:rPr>
            </w:pPr>
          </w:p>
          <w:p w:rsidR="008F3EBB" w:rsidRDefault="008F3EBB" w:rsidP="003F4940">
            <w:pPr>
              <w:spacing w:after="0" w:line="240" w:lineRule="auto"/>
              <w:jc w:val="center"/>
              <w:rPr>
                <w:rFonts w:cs="B Nazanin" w:hint="cs"/>
                <w:sz w:val="24"/>
                <w:szCs w:val="24"/>
                <w:rtl/>
              </w:rPr>
            </w:pPr>
            <w:r>
              <w:rPr>
                <w:rFonts w:cs="B Nazanin" w:hint="cs"/>
                <w:sz w:val="24"/>
                <w:szCs w:val="24"/>
                <w:rtl/>
              </w:rPr>
              <w:t>شهرداری کرمانشاه</w:t>
            </w:r>
          </w:p>
          <w:p w:rsidR="008F3EBB" w:rsidRDefault="008F3EBB" w:rsidP="003F4940">
            <w:pPr>
              <w:spacing w:after="0" w:line="240" w:lineRule="auto"/>
              <w:jc w:val="center"/>
              <w:rPr>
                <w:rFonts w:cs="B Nazanin" w:hint="cs"/>
                <w:sz w:val="24"/>
                <w:szCs w:val="24"/>
                <w:rtl/>
              </w:rPr>
            </w:pPr>
            <w:r>
              <w:rPr>
                <w:rFonts w:cs="B Nazanin" w:hint="cs"/>
                <w:sz w:val="24"/>
                <w:szCs w:val="24"/>
                <w:rtl/>
              </w:rPr>
              <w:t>و</w:t>
            </w:r>
          </w:p>
          <w:p w:rsidR="008F3EBB" w:rsidRPr="006D5C77" w:rsidRDefault="008F3EBB" w:rsidP="003F4940">
            <w:pPr>
              <w:spacing w:after="0" w:line="240" w:lineRule="auto"/>
              <w:jc w:val="center"/>
              <w:rPr>
                <w:rFonts w:cs="B Nazanin" w:hint="cs"/>
                <w:sz w:val="24"/>
                <w:szCs w:val="24"/>
                <w:rtl/>
              </w:rPr>
            </w:pPr>
            <w:r>
              <w:rPr>
                <w:rFonts w:cs="B Nazanin" w:hint="cs"/>
                <w:sz w:val="24"/>
                <w:szCs w:val="24"/>
                <w:rtl/>
              </w:rPr>
              <w:t>اتاق اصناف</w:t>
            </w:r>
          </w:p>
        </w:tc>
      </w:tr>
      <w:tr w:rsidR="008F3EBB" w:rsidRPr="00E97D18" w:rsidTr="003F4940">
        <w:trPr>
          <w:jc w:val="center"/>
        </w:trPr>
        <w:tc>
          <w:tcPr>
            <w:tcW w:w="764" w:type="dxa"/>
            <w:shd w:val="clear" w:color="auto" w:fill="auto"/>
          </w:tcPr>
          <w:p w:rsidR="008F3EBB" w:rsidRDefault="008F3EBB" w:rsidP="003F4940">
            <w:pPr>
              <w:jc w:val="center"/>
              <w:rPr>
                <w:rFonts w:cs="B Nazanin" w:hint="cs"/>
                <w:sz w:val="24"/>
                <w:szCs w:val="24"/>
                <w:rtl/>
              </w:rPr>
            </w:pPr>
            <w:r>
              <w:rPr>
                <w:rFonts w:cs="B Nazanin" w:hint="cs"/>
                <w:sz w:val="24"/>
                <w:szCs w:val="24"/>
                <w:rtl/>
              </w:rPr>
              <w:t>2</w:t>
            </w:r>
          </w:p>
        </w:tc>
        <w:tc>
          <w:tcPr>
            <w:tcW w:w="7110" w:type="dxa"/>
            <w:shd w:val="clear" w:color="auto" w:fill="auto"/>
          </w:tcPr>
          <w:p w:rsidR="008F3EBB" w:rsidRPr="006D5C77" w:rsidRDefault="008F3EBB" w:rsidP="003F4940">
            <w:pPr>
              <w:jc w:val="both"/>
              <w:rPr>
                <w:rFonts w:eastAsia="Calibri" w:cs="B Nazanin" w:hint="cs"/>
                <w:sz w:val="24"/>
                <w:szCs w:val="24"/>
                <w:rtl/>
              </w:rPr>
            </w:pPr>
            <w:r>
              <w:rPr>
                <w:rFonts w:eastAsia="Calibri" w:cs="B Nazanin" w:hint="cs"/>
                <w:sz w:val="24"/>
                <w:szCs w:val="24"/>
                <w:rtl/>
              </w:rPr>
              <w:t>با توجه به ضرورت پذیرش و ورود بنگاه های اقتصادی بزرگ استان در بورس و فرابورس، مقرر گردید سازمان صنعت، معدن و تجارت و نیز سازمان بورس استان با مطالعه و بررسی دقیق، بنگاه هایی را که قابلیت حضور در بورس یا فرابورس را دارند شناسایی و با تشکیل جلسات و ارائه مشاوره های تخصصی زمینه لازم را جهت انجام این مهم فراهم نمایند.</w:t>
            </w:r>
          </w:p>
        </w:tc>
        <w:tc>
          <w:tcPr>
            <w:tcW w:w="2268" w:type="dxa"/>
            <w:shd w:val="clear" w:color="auto" w:fill="auto"/>
          </w:tcPr>
          <w:p w:rsidR="008F3EBB" w:rsidRPr="006D5C77" w:rsidRDefault="008F3EBB" w:rsidP="003F4940">
            <w:pPr>
              <w:spacing w:after="0" w:line="240" w:lineRule="auto"/>
              <w:jc w:val="center"/>
              <w:rPr>
                <w:rFonts w:cs="B Nazanin" w:hint="cs"/>
                <w:sz w:val="24"/>
                <w:szCs w:val="24"/>
                <w:rtl/>
              </w:rPr>
            </w:pPr>
          </w:p>
          <w:p w:rsidR="008F3EBB" w:rsidRDefault="008F3EBB" w:rsidP="003F4940">
            <w:pPr>
              <w:spacing w:after="0" w:line="240" w:lineRule="auto"/>
              <w:jc w:val="center"/>
              <w:rPr>
                <w:rFonts w:cs="B Nazanin" w:hint="cs"/>
                <w:sz w:val="24"/>
                <w:szCs w:val="24"/>
                <w:rtl/>
              </w:rPr>
            </w:pPr>
            <w:r>
              <w:rPr>
                <w:rFonts w:cs="B Nazanin" w:hint="cs"/>
                <w:sz w:val="24"/>
                <w:szCs w:val="24"/>
                <w:rtl/>
              </w:rPr>
              <w:t>سازمان بورس استان</w:t>
            </w:r>
          </w:p>
          <w:p w:rsidR="008F3EBB" w:rsidRDefault="008F3EBB" w:rsidP="003F4940">
            <w:pPr>
              <w:spacing w:after="0" w:line="240" w:lineRule="auto"/>
              <w:jc w:val="center"/>
              <w:rPr>
                <w:rFonts w:cs="B Nazanin" w:hint="cs"/>
                <w:sz w:val="24"/>
                <w:szCs w:val="24"/>
                <w:rtl/>
              </w:rPr>
            </w:pPr>
            <w:r>
              <w:rPr>
                <w:rFonts w:cs="B Nazanin" w:hint="cs"/>
                <w:sz w:val="24"/>
                <w:szCs w:val="24"/>
                <w:rtl/>
              </w:rPr>
              <w:t>و</w:t>
            </w:r>
          </w:p>
          <w:p w:rsidR="008F3EBB" w:rsidRPr="006D5C77" w:rsidRDefault="008F3EBB" w:rsidP="003F4940">
            <w:pPr>
              <w:spacing w:after="0" w:line="240" w:lineRule="auto"/>
              <w:jc w:val="center"/>
              <w:rPr>
                <w:rFonts w:cs="B Nazanin"/>
                <w:sz w:val="24"/>
                <w:szCs w:val="24"/>
              </w:rPr>
            </w:pPr>
            <w:r>
              <w:rPr>
                <w:rFonts w:cs="B Nazanin" w:hint="cs"/>
                <w:sz w:val="24"/>
                <w:szCs w:val="24"/>
                <w:rtl/>
              </w:rPr>
              <w:t>سازمان صنعت، معدن و تجارت</w:t>
            </w:r>
          </w:p>
        </w:tc>
      </w:tr>
      <w:tr w:rsidR="008F3EBB" w:rsidRPr="00E97D18" w:rsidTr="003F4940">
        <w:trPr>
          <w:jc w:val="center"/>
        </w:trPr>
        <w:tc>
          <w:tcPr>
            <w:tcW w:w="764" w:type="dxa"/>
            <w:shd w:val="clear" w:color="auto" w:fill="auto"/>
          </w:tcPr>
          <w:p w:rsidR="008F3EBB" w:rsidRDefault="008F3EBB" w:rsidP="003F4940">
            <w:pPr>
              <w:jc w:val="center"/>
              <w:rPr>
                <w:rFonts w:cs="B Nazanin" w:hint="cs"/>
                <w:sz w:val="24"/>
                <w:szCs w:val="24"/>
                <w:rtl/>
              </w:rPr>
            </w:pPr>
            <w:r>
              <w:rPr>
                <w:rFonts w:cs="B Nazanin" w:hint="cs"/>
                <w:sz w:val="24"/>
                <w:szCs w:val="24"/>
                <w:rtl/>
              </w:rPr>
              <w:t>3</w:t>
            </w:r>
          </w:p>
        </w:tc>
        <w:tc>
          <w:tcPr>
            <w:tcW w:w="7110" w:type="dxa"/>
            <w:shd w:val="clear" w:color="auto" w:fill="auto"/>
          </w:tcPr>
          <w:p w:rsidR="008F3EBB" w:rsidRPr="006D5C77" w:rsidRDefault="008F3EBB" w:rsidP="003F4940">
            <w:pPr>
              <w:jc w:val="both"/>
              <w:rPr>
                <w:rFonts w:eastAsia="Calibri" w:cs="B Nazanin" w:hint="cs"/>
                <w:sz w:val="24"/>
                <w:szCs w:val="24"/>
                <w:rtl/>
              </w:rPr>
            </w:pPr>
            <w:r>
              <w:rPr>
                <w:rFonts w:eastAsia="Calibri" w:cs="B Nazanin" w:hint="cs"/>
                <w:sz w:val="24"/>
                <w:szCs w:val="24"/>
                <w:rtl/>
              </w:rPr>
              <w:t>بر اساس توضیحات مدیر مرکز توسعه بورس کالای کشور و اهمیت بهره برداری از این ظرفیت موثر اقتصادی، مقرر گردید سازمان صنعت، معدن و تجارت و جهاد کشاورزی با دعوت از مسئولین بورس کالا  زمینه همکاری و توسعه فعالیت های بورس کالا را در استان فراهم نمایند .</w:t>
            </w:r>
          </w:p>
        </w:tc>
        <w:tc>
          <w:tcPr>
            <w:tcW w:w="2268" w:type="dxa"/>
            <w:shd w:val="clear" w:color="auto" w:fill="auto"/>
          </w:tcPr>
          <w:p w:rsidR="008F3EBB" w:rsidRPr="006D5C77" w:rsidRDefault="008F3EBB" w:rsidP="003F4940">
            <w:pPr>
              <w:spacing w:after="0" w:line="240" w:lineRule="auto"/>
              <w:jc w:val="center"/>
              <w:rPr>
                <w:rFonts w:cs="B Nazanin" w:hint="cs"/>
                <w:sz w:val="24"/>
                <w:szCs w:val="24"/>
                <w:rtl/>
              </w:rPr>
            </w:pPr>
          </w:p>
          <w:p w:rsidR="008F3EBB" w:rsidRDefault="008F3EBB" w:rsidP="003F4940">
            <w:pPr>
              <w:spacing w:after="0" w:line="240" w:lineRule="auto"/>
              <w:jc w:val="center"/>
              <w:rPr>
                <w:rFonts w:cs="B Nazanin" w:hint="cs"/>
                <w:sz w:val="24"/>
                <w:szCs w:val="24"/>
                <w:rtl/>
              </w:rPr>
            </w:pPr>
            <w:r w:rsidRPr="006D5C77">
              <w:rPr>
                <w:rFonts w:cs="B Nazanin" w:hint="cs"/>
                <w:sz w:val="24"/>
                <w:szCs w:val="24"/>
                <w:rtl/>
              </w:rPr>
              <w:t xml:space="preserve">سازمان صنعت، معدن و تجارت </w:t>
            </w:r>
          </w:p>
          <w:p w:rsidR="008F3EBB" w:rsidRDefault="008F3EBB" w:rsidP="003F4940">
            <w:pPr>
              <w:spacing w:after="0" w:line="240" w:lineRule="auto"/>
              <w:jc w:val="center"/>
              <w:rPr>
                <w:rFonts w:cs="B Nazanin" w:hint="cs"/>
                <w:sz w:val="24"/>
                <w:szCs w:val="24"/>
                <w:rtl/>
              </w:rPr>
            </w:pPr>
            <w:r>
              <w:rPr>
                <w:rFonts w:cs="B Nazanin" w:hint="cs"/>
                <w:sz w:val="24"/>
                <w:szCs w:val="24"/>
                <w:rtl/>
              </w:rPr>
              <w:t xml:space="preserve">و </w:t>
            </w:r>
          </w:p>
          <w:p w:rsidR="008F3EBB" w:rsidRPr="006D5C77" w:rsidRDefault="008F3EBB" w:rsidP="003F4940">
            <w:pPr>
              <w:spacing w:after="0" w:line="240" w:lineRule="auto"/>
              <w:jc w:val="center"/>
              <w:rPr>
                <w:rFonts w:cs="B Nazanin"/>
                <w:sz w:val="24"/>
                <w:szCs w:val="24"/>
              </w:rPr>
            </w:pPr>
            <w:r>
              <w:rPr>
                <w:rFonts w:cs="B Nazanin" w:hint="cs"/>
                <w:sz w:val="24"/>
                <w:szCs w:val="24"/>
                <w:rtl/>
              </w:rPr>
              <w:t>سازمان جهاد کشاورزی</w:t>
            </w:r>
          </w:p>
        </w:tc>
      </w:tr>
      <w:tr w:rsidR="008F3EBB" w:rsidRPr="00E97D18" w:rsidTr="003F4940">
        <w:trPr>
          <w:jc w:val="center"/>
        </w:trPr>
        <w:tc>
          <w:tcPr>
            <w:tcW w:w="764" w:type="dxa"/>
            <w:shd w:val="clear" w:color="auto" w:fill="auto"/>
          </w:tcPr>
          <w:p w:rsidR="008F3EBB" w:rsidRDefault="008F3EBB" w:rsidP="003F4940">
            <w:pPr>
              <w:jc w:val="center"/>
              <w:rPr>
                <w:rFonts w:cs="B Nazanin" w:hint="cs"/>
                <w:sz w:val="24"/>
                <w:szCs w:val="24"/>
                <w:rtl/>
              </w:rPr>
            </w:pPr>
            <w:r>
              <w:rPr>
                <w:rFonts w:cs="B Nazanin" w:hint="cs"/>
                <w:sz w:val="24"/>
                <w:szCs w:val="24"/>
                <w:rtl/>
              </w:rPr>
              <w:t>4</w:t>
            </w:r>
          </w:p>
        </w:tc>
        <w:tc>
          <w:tcPr>
            <w:tcW w:w="7110" w:type="dxa"/>
            <w:shd w:val="clear" w:color="auto" w:fill="auto"/>
          </w:tcPr>
          <w:p w:rsidR="008F3EBB" w:rsidRPr="006D5C77" w:rsidRDefault="008F3EBB" w:rsidP="003F4940">
            <w:pPr>
              <w:jc w:val="both"/>
              <w:rPr>
                <w:rFonts w:eastAsia="Calibri" w:cs="B Nazanin" w:hint="cs"/>
                <w:sz w:val="24"/>
                <w:szCs w:val="24"/>
                <w:rtl/>
              </w:rPr>
            </w:pPr>
            <w:r>
              <w:rPr>
                <w:rFonts w:eastAsia="Calibri" w:cs="B Nazanin" w:hint="cs"/>
                <w:sz w:val="24"/>
                <w:szCs w:val="24"/>
                <w:rtl/>
              </w:rPr>
              <w:t>گزارش وضعیت فضای کسب و کار استان براساس طرح پایش ملی محیط کسب و کار ایران، توسط دبیرخانه شورا ارائه گردید و با توجه به اهمیت موضوع، مقرر گردید گزارش فوق در کارگروه اشتغال استان ارائه گردد. ضمنا در صورت تصویب کارگروه پیشنهادات دبیرخانه در این گزارش به دستگاه های اجرایی مرتبط ابلاغ خواهد گردید.</w:t>
            </w:r>
          </w:p>
        </w:tc>
        <w:tc>
          <w:tcPr>
            <w:tcW w:w="2268" w:type="dxa"/>
            <w:shd w:val="clear" w:color="auto" w:fill="auto"/>
          </w:tcPr>
          <w:p w:rsidR="008F3EBB" w:rsidRPr="006D5C77" w:rsidRDefault="008F3EBB" w:rsidP="003F4940">
            <w:pPr>
              <w:spacing w:after="0" w:line="240" w:lineRule="auto"/>
              <w:jc w:val="center"/>
              <w:rPr>
                <w:rFonts w:cs="B Nazanin" w:hint="cs"/>
                <w:sz w:val="24"/>
                <w:szCs w:val="24"/>
                <w:rtl/>
              </w:rPr>
            </w:pPr>
          </w:p>
          <w:p w:rsidR="008F3EBB" w:rsidRPr="006D5C77" w:rsidRDefault="008F3EBB" w:rsidP="003F4940">
            <w:pPr>
              <w:spacing w:after="0" w:line="240" w:lineRule="auto"/>
              <w:jc w:val="center"/>
              <w:rPr>
                <w:rFonts w:cs="B Nazanin"/>
                <w:sz w:val="24"/>
                <w:szCs w:val="24"/>
              </w:rPr>
            </w:pPr>
            <w:r>
              <w:rPr>
                <w:rFonts w:cs="B Nazanin" w:hint="cs"/>
                <w:sz w:val="24"/>
                <w:szCs w:val="24"/>
                <w:rtl/>
              </w:rPr>
              <w:t>دبیرخانه شورای گفت و گوی استان</w:t>
            </w:r>
          </w:p>
        </w:tc>
      </w:tr>
    </w:tbl>
    <w:p w:rsidR="008A495E" w:rsidRDefault="008A495E">
      <w:pPr>
        <w:rPr>
          <w:rFonts w:hint="cs"/>
        </w:rPr>
      </w:pPr>
      <w:bookmarkStart w:id="0" w:name="_GoBack"/>
      <w:bookmarkEnd w:id="0"/>
    </w:p>
    <w:sectPr w:rsidR="008A495E" w:rsidSect="00364C7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BB"/>
    <w:rsid w:val="00364C71"/>
    <w:rsid w:val="008A495E"/>
    <w:rsid w:val="008F3EB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BB"/>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BB"/>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2018-11-01T07:13:00Z</dcterms:created>
  <dcterms:modified xsi:type="dcterms:W3CDTF">2018-11-01T07:13:00Z</dcterms:modified>
</cp:coreProperties>
</file>